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64" w:lineRule="auto"/>
        <w:contextualSpacing w:val="false"/>
        <w:jc w:val="center"/>
      </w:pPr>
      <w:r>
        <w:rPr>
          <w:rFonts w:cs="Arial"/>
          <w:b/>
          <w:sz w:val="24"/>
          <w:szCs w:val="24"/>
          <w:u w:val="single"/>
        </w:rPr>
        <w:t>ACTA ACUERDO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En Buenos Aires, a los 20 días del mes de agosto de 2015, siendo las 16 horas, se reúnen en la sede  del Ministerio de Educación, en representación del CIN Javier GORTARI y  en  representación de  los gremios docentes: los señores Pedro SANLLORENTI, Verónica BETHENCOURT por LA CONADU, el señor Daniel RICCI por la FEDUN,  los señores Marcelo CRETA y Héctor GOMEZ MASTROGIOVANNI por la CTERA y los señores Norberto CABANAS y Julio CONDORI BARRIOS por la  UDA, por FAGDUT los señores  Conrado SALLER y Norberto HEYACA. Además se encuentran presentes el Secretario de Políticas Universitarias, Dr. Ing. Aldo CABALLERO y Director Nacional de Planeamiento y Coordinación Universitaria, Lic. Daniel H. LOPEZ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Luego de un intercambio de opiniones y en función del punto 2) del ACTA ACUERDO de fecha 29 de mayo de 2015, las partes acuerdan establecer: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24"/>
        <w:numPr>
          <w:ilvl w:val="0"/>
          <w:numId w:val="1"/>
        </w:numPr>
        <w:spacing w:after="0" w:before="0" w:line="264" w:lineRule="auto"/>
        <w:ind w:hanging="360" w:left="0" w:right="0"/>
        <w:contextualSpacing w:val="false"/>
        <w:jc w:val="both"/>
      </w:pPr>
      <w:r>
        <w:rPr>
          <w:rFonts w:cs="Arial"/>
          <w:sz w:val="24"/>
          <w:szCs w:val="24"/>
        </w:rPr>
        <w:t>Para docentes  universitarios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a.1.- Jerarquización de la Labor Docente: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Incrementar, a partir del 01/10/2015, un 1.5% el salario básico de cada categoría vigente al 30/09/2015, en concepto de Jerarquización de la Labor Docente y de acuerdo con lo previsto en el artículo 42 del Convenio Colectivo para Docentes de las Instituciones Universitarias Nacionales (Decreto 1246/15).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a.2.- Recomposición del Nomenclador: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Continuar con la recomposición del Nomenclador, iniciada en el 2007, modificando las relaciones vigentes entre el cargo de Profesor Titular y el de Ayudante de Primera, con la misma dedicación y antigüedad, corrigiendo las relaciones actuales existentes entre las distintas categorías, a partir del 01/11/2015, resultando los salarios básicos iniciales para cada categoría y dedicación que se detallan en el Anexo I.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24"/>
        <w:numPr>
          <w:ilvl w:val="0"/>
          <w:numId w:val="1"/>
        </w:numPr>
        <w:spacing w:after="0" w:before="0" w:line="264" w:lineRule="auto"/>
        <w:ind w:hanging="360" w:left="0" w:right="0"/>
        <w:contextualSpacing/>
        <w:jc w:val="both"/>
      </w:pPr>
      <w:r>
        <w:rPr>
          <w:rFonts w:cs="Arial"/>
          <w:sz w:val="24"/>
          <w:szCs w:val="24"/>
        </w:rPr>
        <w:t>Para docentes preuniversitarios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b.1.- Jerarquización de la Labor Docente: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Incrementar, a partir del 01/10/2015, un 1.5% los salarios básicos de cada categoría vigente al 30/09/2015, en concepto de Jerarquización de la Labor Docente y de acuerdo con lo previsto en el artículo 42 del Convenio Colectivo para Docentes de las Instituciones Universitarias Nacionales (Decreto 1246/15). Cabe aclarar que para las categorías que hayan alcanzado los valores de básicos mínimos vigentes del Nomenclador Único Salarial Docente Preuniversitario se deberá aplicar el 1,5% sobre dichos valores, resultando los montos que se detallan en el Anexo II. Para aquellas universidades que registren alguna/s categoría/s con montos de básicos que superen los mínimos establecidos deberán aplicar para esas categorías el 1,5% sobre los montos vigentes en cada institución.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  <w:u w:val="single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b.2.- Recomposición del Nomenclador: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Continuar con la recomposición del Nomenclador, iniciada en el 2011, efectivizando los ajustes que correspondan en virtud de lo acordado en el punto a.2 y las relaciones definidas en el artículo 5° del Convenio Colectivo para Docentes de las Instituciones Universitarias Nacionales (Decreto 1246/15), resultando los valores mínimos de salarios básicos iniciales por  categoría que se detallan en el Anexo II. La Secretaría de Políticas Universitarias comunicará a través de un instructivo el procedimiento de cálculo para la aplicación de esta recomposición.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El Ministerio manifiesta su conformidad con los acuerdos alcanzados, comprometiéndose a proveer los fondos necesarios para su implementación.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  <w:t>Las  partes  acuerdan  elevar  la  presente  acta  al  Ministerio  de  Trabajo  y Seguridad Social para su registro.</w:t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  <w:spacing w:after="0" w:before="0" w:line="264" w:lineRule="auto"/>
        <w:contextualSpacing w:val="false"/>
        <w:jc w:val="both"/>
      </w:pPr>
      <w:bookmarkStart w:id="0" w:name="_GoBack"/>
      <w:bookmarkStart w:id="1" w:name="_GoBack"/>
      <w:bookmarkEnd w:id="1"/>
      <w:r>
        <w:rPr>
          <w:rFonts w:cs="Arial"/>
          <w:sz w:val="24"/>
          <w:szCs w:val="24"/>
        </w:rPr>
      </w:r>
    </w:p>
    <w:tbl>
      <w:tblPr>
        <w:jc w:val="left"/>
        <w:tblInd w:type="dxa" w:w="-15"/>
        <w:tblBorders/>
      </w:tblPr>
      <w:tblGrid>
        <w:gridCol w:w="9339"/>
      </w:tblGrid>
      <w:tr>
        <w:trPr>
          <w:trHeight w:hRule="atLeast" w:val="375"/>
          <w:cantSplit w:val="false"/>
        </w:trPr>
        <w:tc>
          <w:tcPr>
            <w:tcW w:type="dxa" w:w="9339"/>
            <w:gridSpan w:val="4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pageBreakBefore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>ANEXO I - DOCENTES UNIVERSITARIOS</w:t>
            </w:r>
          </w:p>
        </w:tc>
      </w:tr>
      <w:tr>
        <w:trPr>
          <w:trHeight w:hRule="atLeast" w:val="162"/>
          <w:cantSplit w:val="false"/>
        </w:trPr>
        <w:tc>
          <w:tcPr>
            <w:tcW w:type="dxa" w:w="163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9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9339"/>
            <w:gridSpan w:val="4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sz w:val="24"/>
                <w:szCs w:val="24"/>
                <w:u w:val="single"/>
                <w:lang w:eastAsia="es-ES" w:val="es-ES"/>
              </w:rPr>
              <w:t>BÁSICOS POR CATEGORÍA A APLICAR ETAPAS OCTUBRE Y NOVIEMBRE 2015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63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9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63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DEDICACIÓN </w:t>
            </w:r>
          </w:p>
        </w:tc>
        <w:tc>
          <w:tcPr>
            <w:tcW w:type="dxa" w:w="2139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CATEGORÍA </w:t>
            </w:r>
          </w:p>
        </w:tc>
        <w:tc>
          <w:tcPr>
            <w:tcW w:type="dxa" w:w="2980"/>
            <w:tcBorders>
              <w:top w:color="00000A" w:space="0" w:sz="8" w:val="single"/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Básico desde 01/10/15 </w:t>
            </w:r>
          </w:p>
        </w:tc>
        <w:tc>
          <w:tcPr>
            <w:tcW w:type="dxa" w:w="2581"/>
            <w:tcBorders>
              <w:top w:color="00000A" w:space="0" w:sz="8" w:val="single"/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Básico desde 01/11/15 </w:t>
            </w:r>
          </w:p>
        </w:tc>
      </w:tr>
      <w:tr>
        <w:trPr>
          <w:trHeight w:hRule="atLeast" w:val="162"/>
          <w:cantSplit w:val="false"/>
        </w:trPr>
        <w:tc>
          <w:tcPr>
            <w:tcW w:type="dxa" w:w="163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9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 xml:space="preserve">Exclusiva </w:t>
            </w:r>
          </w:p>
        </w:tc>
        <w:tc>
          <w:tcPr>
            <w:tcW w:type="dxa" w:w="2139"/>
            <w:tcBorders>
              <w:top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Titular </w:t>
            </w:r>
          </w:p>
        </w:tc>
        <w:tc>
          <w:tcPr>
            <w:tcW w:type="dxa" w:w="2980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18.912,60 </w:t>
            </w:r>
          </w:p>
        </w:tc>
        <w:tc>
          <w:tcPr>
            <w:tcW w:type="dxa" w:w="2581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19.123,71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Asociado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16.941,40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17.114,33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Adjunto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14.970,18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15.104,96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JTP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12.998,98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13.095,58 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Ayudante de 1era.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11.027,76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11.086,21 </w:t>
            </w:r>
          </w:p>
        </w:tc>
      </w:tr>
      <w:tr>
        <w:trPr>
          <w:trHeight w:hRule="atLeast" w:val="162"/>
          <w:cantSplit w:val="false"/>
        </w:trPr>
        <w:tc>
          <w:tcPr>
            <w:tcW w:type="dxa" w:w="163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> </w:t>
            </w:r>
          </w:p>
        </w:tc>
        <w:tc>
          <w:tcPr>
            <w:tcW w:type="dxa" w:w="213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> 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> </w:t>
            </w:r>
          </w:p>
        </w:tc>
        <w:tc>
          <w:tcPr>
            <w:tcW w:type="dxa" w:w="2581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 xml:space="preserve">Semiexclusiva </w:t>
            </w:r>
          </w:p>
        </w:tc>
        <w:tc>
          <w:tcPr>
            <w:tcW w:type="dxa" w:w="2139"/>
            <w:tcBorders>
              <w:top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Titular </w:t>
            </w:r>
          </w:p>
        </w:tc>
        <w:tc>
          <w:tcPr>
            <w:tcW w:type="dxa" w:w="2980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9.456,32 </w:t>
            </w:r>
          </w:p>
        </w:tc>
        <w:tc>
          <w:tcPr>
            <w:tcW w:type="dxa" w:w="2581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9.561,87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Asociado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8.470,71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8.557,18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Adjunto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7.485,10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7.552,49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JTP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6.499,49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6.547,80 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Ayudante de 1era.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5.513,89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5.543,11 </w:t>
            </w:r>
          </w:p>
        </w:tc>
      </w:tr>
      <w:tr>
        <w:trPr>
          <w:trHeight w:hRule="atLeast" w:val="162"/>
          <w:cantSplit w:val="false"/>
        </w:trPr>
        <w:tc>
          <w:tcPr>
            <w:tcW w:type="dxa" w:w="163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> </w:t>
            </w:r>
          </w:p>
        </w:tc>
        <w:tc>
          <w:tcPr>
            <w:tcW w:type="dxa" w:w="213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> </w:t>
            </w:r>
          </w:p>
        </w:tc>
        <w:tc>
          <w:tcPr>
            <w:tcW w:type="dxa" w:w="298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> </w:t>
            </w:r>
          </w:p>
        </w:tc>
        <w:tc>
          <w:tcPr>
            <w:tcW w:type="dxa" w:w="2581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  <w:t xml:space="preserve">Simple </w:t>
            </w:r>
          </w:p>
        </w:tc>
        <w:tc>
          <w:tcPr>
            <w:tcW w:type="dxa" w:w="2139"/>
            <w:tcBorders>
              <w:top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Titular </w:t>
            </w:r>
          </w:p>
        </w:tc>
        <w:tc>
          <w:tcPr>
            <w:tcW w:type="dxa" w:w="2980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4.728,10 </w:t>
            </w:r>
          </w:p>
        </w:tc>
        <w:tc>
          <w:tcPr>
            <w:tcW w:type="dxa" w:w="2581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4.780,87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Asociado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4.235,30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4.278,54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Adjunto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3.742,51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3.776,20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JTP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3.249,71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3.273,86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Ayudante de 1era.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2.756,91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2.771,52 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639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es-ES" w:val="es-ES"/>
              </w:rPr>
            </w:r>
          </w:p>
        </w:tc>
        <w:tc>
          <w:tcPr>
            <w:tcW w:type="dxa" w:w="21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eastAsia="es-ES" w:val="es-ES"/>
              </w:rPr>
              <w:t xml:space="preserve">Ayudante de 2da. </w:t>
            </w:r>
          </w:p>
        </w:tc>
        <w:tc>
          <w:tcPr>
            <w:tcW w:type="dxa" w:w="2980"/>
            <w:tcBorders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2.205,52 </w:t>
            </w:r>
          </w:p>
        </w:tc>
        <w:tc>
          <w:tcPr>
            <w:tcW w:type="dxa" w:w="2581"/>
            <w:tcBorders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sz w:val="24"/>
                <w:szCs w:val="24"/>
                <w:lang w:eastAsia="es-ES" w:val="es-ES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  <w:lang w:eastAsia="es-ES" w:val="es-ES"/>
              </w:rPr>
              <w:t xml:space="preserve">2.217,22 </w:t>
            </w:r>
          </w:p>
        </w:tc>
      </w:tr>
    </w:tbl>
    <w:p>
      <w:pPr>
        <w:pStyle w:val="style0"/>
        <w:spacing w:after="0" w:before="0" w:line="264" w:lineRule="auto"/>
        <w:contextualSpacing w:val="false"/>
        <w:jc w:val="both"/>
      </w:pPr>
      <w:r>
        <w:rPr>
          <w:rFonts w:cs="Arial"/>
          <w:sz w:val="24"/>
          <w:szCs w:val="24"/>
        </w:rPr>
      </w:r>
    </w:p>
    <w:p>
      <w:pPr>
        <w:pStyle w:val="style0"/>
      </w:pPr>
      <w:r>
        <w:rPr>
          <w:rFonts w:cs="Arial"/>
          <w:sz w:val="24"/>
          <w:szCs w:val="24"/>
        </w:rPr>
      </w:r>
    </w:p>
    <w:p>
      <w:pPr>
        <w:pStyle w:val="style0"/>
        <w:pageBreakBefore/>
      </w:pPr>
      <w:r>
        <w:rPr/>
      </w:r>
    </w:p>
    <w:p>
      <w:pPr>
        <w:pStyle w:val="style0"/>
        <w:widowControl/>
        <w:spacing w:after="200" w:before="0" w:line="276" w:lineRule="auto"/>
        <w:contextualSpacing w:val="false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38.7pt;height:485.2pt" type="shapetype_75">
              <v:fill detectmouseclick="t" r:id="rId2"/>
              <v:wrap v:type="none"/>
              <v:stroke color="gray" joinstyle="round"/>
            </v:shape>
          </w:pict>
        </w:rPr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1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Etiqueta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2015-09-02T16:24:00.00Z</dcterms:created>
  <dc:creator>Sonia Vescovo</dc:creator>
  <cp:lastModifiedBy>WinuE</cp:lastModifiedBy>
  <cp:lastPrinted>2015-08-25T16:10:00.00Z</cp:lastPrinted>
  <dcterms:modified xsi:type="dcterms:W3CDTF">2015-09-02T16:24:00.00Z</dcterms:modified>
  <cp:revision>2</cp:revision>
  <dc:title>ACTA ACUERDO</dc:title>
</cp:coreProperties>
</file>